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4214" w14:textId="010B847C" w:rsidR="0025292B" w:rsidRDefault="00E10109" w:rsidP="0025292B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 w:rsidRPr="00E10109">
        <w:rPr>
          <w:rFonts w:ascii="Arial" w:eastAsia="Times New Roman" w:hAnsi="Arial" w:cs="Arial"/>
          <w:b/>
          <w:bCs/>
          <w:noProof/>
          <w:color w:val="333333"/>
          <w:kern w:val="36"/>
          <w:sz w:val="48"/>
          <w:szCs w:val="48"/>
        </w:rPr>
        <w:drawing>
          <wp:inline distT="0" distB="0" distL="0" distR="0" wp14:anchorId="4CC983B7" wp14:editId="505BFE41">
            <wp:extent cx="6353175" cy="885190"/>
            <wp:effectExtent l="0" t="0" r="0" b="0"/>
            <wp:docPr id="34431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11691" name=""/>
                    <pic:cNvPicPr/>
                  </pic:nvPicPr>
                  <pic:blipFill rotWithShape="1">
                    <a:blip r:embed="rId6"/>
                    <a:srcRect r="3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09" cy="914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DCF10" w14:textId="3B9A60B3" w:rsidR="0025292B" w:rsidRPr="00155985" w:rsidRDefault="0025292B" w:rsidP="0025292B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 w:rsidRPr="00155985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 xml:space="preserve">Continuing Education Requirements </w:t>
      </w:r>
    </w:p>
    <w:p w14:paraId="059D4B78" w14:textId="768A13B0" w:rsidR="0025292B" w:rsidRPr="00155985" w:rsidRDefault="0025292B" w:rsidP="0025292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</w:rPr>
      </w:pPr>
      <w:r w:rsidRPr="00155985">
        <w:rPr>
          <w:rFonts w:ascii="Arial" w:eastAsia="Times New Roman" w:hAnsi="Arial" w:cs="Arial"/>
          <w:color w:val="333333"/>
        </w:rPr>
        <w:t xml:space="preserve">The </w:t>
      </w:r>
      <w:r w:rsidR="00936E37">
        <w:rPr>
          <w:rFonts w:ascii="Arial" w:eastAsia="Times New Roman" w:hAnsi="Arial" w:cs="Arial"/>
          <w:color w:val="333333"/>
        </w:rPr>
        <w:t xml:space="preserve">real estate agent </w:t>
      </w:r>
      <w:r w:rsidR="00567C33">
        <w:rPr>
          <w:rFonts w:ascii="Arial" w:eastAsia="Times New Roman" w:hAnsi="Arial" w:cs="Arial"/>
          <w:color w:val="333333"/>
        </w:rPr>
        <w:t xml:space="preserve">licensing </w:t>
      </w:r>
      <w:r w:rsidRPr="00155985">
        <w:rPr>
          <w:rFonts w:ascii="Arial" w:eastAsia="Times New Roman" w:hAnsi="Arial" w:cs="Arial"/>
          <w:color w:val="333333"/>
        </w:rPr>
        <w:t xml:space="preserve">continuing education requirements </w:t>
      </w:r>
      <w:proofErr w:type="gramStart"/>
      <w:r w:rsidRPr="00155985">
        <w:rPr>
          <w:rFonts w:ascii="Arial" w:eastAsia="Times New Roman" w:hAnsi="Arial" w:cs="Arial"/>
          <w:color w:val="333333"/>
        </w:rPr>
        <w:t>are</w:t>
      </w:r>
      <w:proofErr w:type="gramEnd"/>
      <w:r w:rsidRPr="00155985">
        <w:rPr>
          <w:rFonts w:ascii="Arial" w:eastAsia="Times New Roman" w:hAnsi="Arial" w:cs="Arial"/>
          <w:color w:val="333333"/>
        </w:rPr>
        <w:t xml:space="preserve"> established by the Maryland Real Estate Commission</w:t>
      </w:r>
      <w:r w:rsidR="00C6592A">
        <w:rPr>
          <w:rFonts w:ascii="Arial" w:eastAsia="Times New Roman" w:hAnsi="Arial" w:cs="Arial"/>
          <w:color w:val="333333"/>
        </w:rPr>
        <w:t xml:space="preserve"> (MREC)</w:t>
      </w:r>
      <w:r w:rsidRPr="00155985">
        <w:rPr>
          <w:rFonts w:ascii="Arial" w:eastAsia="Times New Roman" w:hAnsi="Arial" w:cs="Arial"/>
          <w:color w:val="333333"/>
        </w:rPr>
        <w:t xml:space="preserve">.  The required hours must be completed during the term of the license and </w:t>
      </w:r>
      <w:proofErr w:type="gramStart"/>
      <w:r w:rsidR="00E10109" w:rsidRPr="00155985">
        <w:rPr>
          <w:rFonts w:ascii="Arial" w:eastAsia="Times New Roman" w:hAnsi="Arial" w:cs="Arial"/>
          <w:color w:val="333333"/>
        </w:rPr>
        <w:t>30-days</w:t>
      </w:r>
      <w:proofErr w:type="gramEnd"/>
      <w:r w:rsidR="00E10109" w:rsidRPr="00155985">
        <w:rPr>
          <w:rFonts w:ascii="Arial" w:eastAsia="Times New Roman" w:hAnsi="Arial" w:cs="Arial"/>
          <w:color w:val="333333"/>
        </w:rPr>
        <w:t xml:space="preserve"> </w:t>
      </w:r>
      <w:r w:rsidRPr="00155985">
        <w:rPr>
          <w:rFonts w:ascii="Arial" w:eastAsia="Times New Roman" w:hAnsi="Arial" w:cs="Arial"/>
          <w:color w:val="333333"/>
          <w:u w:val="single"/>
        </w:rPr>
        <w:t>prior</w:t>
      </w:r>
      <w:r w:rsidRPr="00155985">
        <w:rPr>
          <w:rFonts w:ascii="Arial" w:eastAsia="Times New Roman" w:hAnsi="Arial" w:cs="Arial"/>
          <w:color w:val="333333"/>
        </w:rPr>
        <w:t xml:space="preserve"> to submitting a renewal application. </w:t>
      </w:r>
      <w:r w:rsidR="00A17BB1" w:rsidRPr="00155985">
        <w:rPr>
          <w:rFonts w:ascii="Arial" w:eastAsia="Times New Roman" w:hAnsi="Arial" w:cs="Arial"/>
          <w:color w:val="333333"/>
        </w:rPr>
        <w:t xml:space="preserve">Inactive </w:t>
      </w:r>
      <w:r w:rsidRPr="00155985">
        <w:rPr>
          <w:rFonts w:ascii="Arial" w:eastAsia="Times New Roman" w:hAnsi="Arial" w:cs="Arial"/>
          <w:color w:val="333333"/>
        </w:rPr>
        <w:t>Licensees must complete all hours due for each renewal period prior to submitting a reactivation application. </w:t>
      </w:r>
    </w:p>
    <w:p w14:paraId="7E64E5F9" w14:textId="4BBF45E0" w:rsidR="0025292B" w:rsidRPr="00155985" w:rsidRDefault="0025292B" w:rsidP="0025292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</w:rPr>
      </w:pPr>
      <w:r w:rsidRPr="00155985">
        <w:rPr>
          <w:rFonts w:ascii="Arial" w:eastAsia="Times New Roman" w:hAnsi="Arial" w:cs="Arial"/>
          <w:color w:val="333333"/>
        </w:rPr>
        <w:t>The current requirements can be found on the Real Estate Commission website:</w:t>
      </w:r>
    </w:p>
    <w:p w14:paraId="4313D3DD" w14:textId="2ECC72AD" w:rsidR="00FE6F6F" w:rsidRPr="00155985" w:rsidRDefault="00970366" w:rsidP="0025292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</w:rPr>
      </w:pPr>
      <w:hyperlink r:id="rId7" w:history="1">
        <w:r w:rsidRPr="00155985">
          <w:rPr>
            <w:rStyle w:val="Hyperlink"/>
            <w:rFonts w:ascii="Arial" w:eastAsia="Times New Roman" w:hAnsi="Arial" w:cs="Arial"/>
          </w:rPr>
          <w:t>https://www.dllr.state.md.us/license/mrec/mreceduc.shtml</w:t>
        </w:r>
      </w:hyperlink>
    </w:p>
    <w:p w14:paraId="0A9016F8" w14:textId="7547E51D" w:rsidR="0025292B" w:rsidRPr="0025292B" w:rsidRDefault="00744F10" w:rsidP="0025292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4FF3C2ED" wp14:editId="1957F944">
            <wp:simplePos x="0" y="0"/>
            <wp:positionH relativeFrom="column">
              <wp:posOffset>-438150</wp:posOffset>
            </wp:positionH>
            <wp:positionV relativeFrom="paragraph">
              <wp:posOffset>4180840</wp:posOffset>
            </wp:positionV>
            <wp:extent cx="419100" cy="314325"/>
            <wp:effectExtent l="0" t="0" r="0" b="0"/>
            <wp:wrapNone/>
            <wp:docPr id="386622146" name="Picture 38662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60AA5717" wp14:editId="49980AC0">
            <wp:simplePos x="0" y="0"/>
            <wp:positionH relativeFrom="column">
              <wp:posOffset>-323850</wp:posOffset>
            </wp:positionH>
            <wp:positionV relativeFrom="paragraph">
              <wp:posOffset>1087755</wp:posOffset>
            </wp:positionV>
            <wp:extent cx="419100" cy="314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35828C3E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" o:spid="_x0000_s1027" type="#_x0000_t13" style="position:absolute;margin-left:99.75pt;margin-top:85.9pt;width:27.75pt;height:16.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" adj="15178" fillcolor="yellow" strokecolor="#243f60 [1604]" strokeweight="2pt"/>
        </w:pict>
      </w:r>
      <w:r w:rsidR="00000000">
        <w:rPr>
          <w:noProof/>
        </w:rPr>
        <w:pict w14:anchorId="3043D657">
          <v:shape id="Right Arrow 4" o:spid="_x0000_s1026" type="#_x0000_t13" style="position:absolute;margin-left:102pt;margin-top:53.65pt;width:27.75pt;height:16.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" adj="15178" fillcolor="yellow" strokecolor="#243f60 [1604]" strokeweight="2pt"/>
        </w:pict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 wp14:anchorId="7C531867" wp14:editId="07A0BAA2">
            <wp:extent cx="5943600" cy="4458970"/>
            <wp:effectExtent l="0" t="0" r="0" b="0"/>
            <wp:docPr id="12954568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5681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E0A10" w14:textId="1663F48B" w:rsidR="00C6592A" w:rsidRDefault="007E2ADD" w:rsidP="00500B76">
      <w:pPr>
        <w:ind w:right="-360"/>
        <w:rPr>
          <w:rFonts w:ascii="Arial" w:hAnsi="Arial" w:cs="Arial"/>
        </w:rPr>
      </w:pPr>
      <w:r w:rsidRPr="00155985">
        <w:rPr>
          <w:rFonts w:ascii="Arial" w:hAnsi="Arial" w:cs="Arial"/>
        </w:rPr>
        <w:t>All continuing education classes completed</w:t>
      </w:r>
      <w:r w:rsidR="00C6592A">
        <w:rPr>
          <w:rFonts w:ascii="Arial" w:hAnsi="Arial" w:cs="Arial"/>
        </w:rPr>
        <w:t xml:space="preserve"> at a MREC licensed school</w:t>
      </w:r>
      <w:r w:rsidRPr="00155985">
        <w:rPr>
          <w:rFonts w:ascii="Arial" w:hAnsi="Arial" w:cs="Arial"/>
        </w:rPr>
        <w:t xml:space="preserve"> will be</w:t>
      </w:r>
      <w:r w:rsidR="00C6592A">
        <w:rPr>
          <w:rFonts w:ascii="Arial" w:hAnsi="Arial" w:cs="Arial"/>
        </w:rPr>
        <w:t xml:space="preserve"> uploaded by the school and</w:t>
      </w:r>
      <w:r w:rsidRPr="00155985">
        <w:rPr>
          <w:rFonts w:ascii="Arial" w:hAnsi="Arial" w:cs="Arial"/>
        </w:rPr>
        <w:t xml:space="preserve"> posted on your education portal page</w:t>
      </w:r>
      <w:r w:rsidR="00C6592A">
        <w:rPr>
          <w:rFonts w:ascii="Arial" w:hAnsi="Arial" w:cs="Arial"/>
        </w:rPr>
        <w:t xml:space="preserve"> in the MREC;</w:t>
      </w:r>
      <w:r w:rsidRPr="00155985">
        <w:rPr>
          <w:rFonts w:ascii="Arial" w:hAnsi="Arial" w:cs="Arial"/>
        </w:rPr>
        <w:t xml:space="preserve"> which can be viewed by clicking on the “Verify Credits Earned” link.  It is your responsibility to verify that the classes have been posted.</w:t>
      </w:r>
      <w:r w:rsidR="00C6592A">
        <w:rPr>
          <w:rFonts w:ascii="Arial" w:hAnsi="Arial" w:cs="Arial"/>
        </w:rPr>
        <w:t xml:space="preserve"> </w:t>
      </w:r>
    </w:p>
    <w:p w14:paraId="05580873" w14:textId="6E981BC3" w:rsidR="00744F10" w:rsidRPr="00155985" w:rsidRDefault="00A17BB1" w:rsidP="00500B76">
      <w:pPr>
        <w:ind w:right="-360"/>
        <w:rPr>
          <w:rFonts w:ascii="Arial" w:hAnsi="Arial" w:cs="Arial"/>
        </w:rPr>
      </w:pPr>
      <w:r w:rsidRPr="00155985">
        <w:rPr>
          <w:rFonts w:ascii="Arial" w:hAnsi="Arial" w:cs="Arial"/>
        </w:rPr>
        <w:t xml:space="preserve">Best practice is to renew your license at least </w:t>
      </w:r>
      <w:r w:rsidR="00744F10" w:rsidRPr="00155985">
        <w:rPr>
          <w:rFonts w:ascii="Arial" w:hAnsi="Arial" w:cs="Arial"/>
        </w:rPr>
        <w:t>72</w:t>
      </w:r>
      <w:r w:rsidRPr="00155985">
        <w:rPr>
          <w:rFonts w:ascii="Arial" w:hAnsi="Arial" w:cs="Arial"/>
        </w:rPr>
        <w:t xml:space="preserve"> hours prior to expiration. </w:t>
      </w:r>
      <w:r w:rsidR="00744F10" w:rsidRPr="00155985">
        <w:rPr>
          <w:rFonts w:ascii="Arial" w:hAnsi="Arial" w:cs="Arial"/>
        </w:rPr>
        <w:br/>
      </w:r>
    </w:p>
    <w:p w14:paraId="4C99579A" w14:textId="751016CD" w:rsidR="0015683D" w:rsidRDefault="00C80AA1" w:rsidP="00156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 xml:space="preserve">CONTINUING EDUCATION (CE) </w:t>
      </w:r>
      <w:r w:rsidR="007E1A06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REQUIREMENTS</w:t>
      </w:r>
      <w:r w:rsidR="0015683D" w:rsidRPr="0015683D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SALESPERSONS AND ASSOCIATE BROKERS</w:t>
      </w:r>
    </w:p>
    <w:p w14:paraId="774EA098" w14:textId="386BD65C" w:rsidR="00C80AA1" w:rsidRPr="0075326B" w:rsidRDefault="00C80AA1" w:rsidP="00C80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B0000"/>
          <w:sz w:val="24"/>
          <w:szCs w:val="24"/>
        </w:rPr>
      </w:pPr>
      <w:r w:rsidRPr="0075326B">
        <w:rPr>
          <w:rFonts w:ascii="Arial" w:eastAsia="Times New Roman" w:hAnsi="Arial" w:cs="Arial"/>
          <w:b/>
          <w:bCs/>
          <w:color w:val="EB0000"/>
          <w:sz w:val="24"/>
          <w:szCs w:val="24"/>
        </w:rPr>
        <w:t>NEW – Effective October 1, 2025</w:t>
      </w:r>
    </w:p>
    <w:p w14:paraId="082DB794" w14:textId="6A3A9060" w:rsidR="0075326B" w:rsidRPr="0075326B" w:rsidRDefault="0075326B" w:rsidP="0075326B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75326B">
        <w:rPr>
          <w:rFonts w:ascii="Montserrat" w:eastAsia="Times New Roman" w:hAnsi="Montserrat" w:cs="Times New Roman"/>
          <w:b/>
          <w:bCs/>
          <w:color w:val="FFFFFF"/>
          <w:sz w:val="27"/>
          <w:szCs w:val="27"/>
          <w:shd w:val="clear" w:color="auto" w:fill="1E1E1E"/>
        </w:rPr>
        <w:t>NOTE</w:t>
      </w:r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 For licensee</w:t>
      </w: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(</w:t>
      </w:r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s</w:t>
      </w: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)</w:t>
      </w:r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 xml:space="preserve"> initially licensed on or </w:t>
      </w:r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u w:val="single"/>
        </w:rPr>
        <w:t xml:space="preserve">after October 1, </w:t>
      </w:r>
      <w:proofErr w:type="gramStart"/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u w:val="single"/>
        </w:rPr>
        <w:t>2023</w:t>
      </w:r>
      <w:proofErr w:type="gramEnd"/>
      <w:r w:rsidRPr="0075326B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 xml:space="preserve"> AND this is your first renewal</w:t>
      </w:r>
    </w:p>
    <w:p w14:paraId="11000D8E" w14:textId="26EB93E8" w:rsidR="00C80AA1" w:rsidRDefault="0075326B" w:rsidP="00C80AA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5326B">
        <w:rPr>
          <w:rFonts w:ascii="Montserrat" w:eastAsia="Times New Roman" w:hAnsi="Montserrat" w:cs="Times New Roman"/>
          <w:color w:val="000000"/>
          <w:sz w:val="24"/>
          <w:szCs w:val="24"/>
        </w:rPr>
        <w:t>You must complete the following continuing education hours.</w:t>
      </w:r>
    </w:p>
    <w:p w14:paraId="30F0EEBC" w14:textId="77777777" w:rsidR="0075326B" w:rsidRPr="00C80AA1" w:rsidRDefault="0075326B" w:rsidP="00C80AA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tbl>
      <w:tblPr>
        <w:tblW w:w="44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6"/>
        <w:gridCol w:w="1392"/>
        <w:gridCol w:w="1552"/>
      </w:tblGrid>
      <w:tr w:rsidR="00155985" w:rsidRPr="00C80AA1" w14:paraId="46BD5257" w14:textId="77777777" w:rsidTr="00155985">
        <w:trPr>
          <w:trHeight w:val="482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457EB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Salesperson Initial Renewal (Residential)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D7A28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Topic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43BAE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Hours</w:t>
            </w:r>
          </w:p>
        </w:tc>
      </w:tr>
      <w:tr w:rsidR="00155985" w:rsidRPr="00C80AA1" w14:paraId="4503AC88" w14:textId="77777777" w:rsidTr="00155985">
        <w:trPr>
          <w:trHeight w:val="240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CBF33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Contracts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0016F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3ED79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155985" w:rsidRPr="00C80AA1" w14:paraId="4BEC8758" w14:textId="77777777" w:rsidTr="00AC386F">
        <w:trPr>
          <w:trHeight w:val="330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EC735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Principles of Brokerage Relationships and Disclosure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D0204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30B0D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155985" w:rsidRPr="00C80AA1" w14:paraId="239519EC" w14:textId="77777777" w:rsidTr="00AC386F">
        <w:trPr>
          <w:trHeight w:val="312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11DBA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Principles of Real Estate Practice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E36F2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EBB9B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155985" w:rsidRPr="00C80AA1" w14:paraId="0DDA593B" w14:textId="77777777" w:rsidTr="00AC386F">
        <w:trPr>
          <w:trHeight w:val="285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03D37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Property Management and Landlord and Tenant Laws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92F96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367B5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</w:tr>
      <w:tr w:rsidR="00155985" w:rsidRPr="00C80AA1" w14:paraId="16E560AE" w14:textId="77777777" w:rsidTr="00155985">
        <w:trPr>
          <w:trHeight w:val="240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DF052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Professionalism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942FF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BF5DF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1.5</w:t>
            </w:r>
          </w:p>
        </w:tc>
      </w:tr>
      <w:tr w:rsidR="00155985" w:rsidRPr="00C80AA1" w14:paraId="373EC5E5" w14:textId="77777777" w:rsidTr="00155985">
        <w:trPr>
          <w:trHeight w:val="240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AC3C1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Real Estate Financing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4CD6F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9DAC9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1.5</w:t>
            </w:r>
          </w:p>
        </w:tc>
      </w:tr>
      <w:tr w:rsidR="00155985" w:rsidRPr="00C80AA1" w14:paraId="17C0CD0C" w14:textId="77777777" w:rsidTr="00155985">
        <w:trPr>
          <w:trHeight w:val="240"/>
        </w:trPr>
        <w:tc>
          <w:tcPr>
            <w:tcW w:w="5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C2D8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Total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1E4D0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3BB47" w14:textId="77777777" w:rsidR="00155985" w:rsidRPr="00C80AA1" w:rsidRDefault="00155985" w:rsidP="00C80AA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80A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15</w:t>
            </w:r>
          </w:p>
        </w:tc>
      </w:tr>
    </w:tbl>
    <w:p w14:paraId="4D42BEB3" w14:textId="77777777" w:rsidR="00C80AA1" w:rsidRPr="0015683D" w:rsidRDefault="00C80AA1" w:rsidP="00C80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5683D">
        <w:rPr>
          <w:rFonts w:ascii="Arial" w:eastAsia="Times New Roman" w:hAnsi="Arial" w:cs="Arial"/>
          <w:color w:val="333333"/>
          <w:sz w:val="21"/>
          <w:szCs w:val="21"/>
        </w:rPr>
        <w:t>These are mandatory topics and may not be substituted with other education or continuing education from another state in which the individual is licensed.</w:t>
      </w:r>
    </w:p>
    <w:p w14:paraId="55163E0C" w14:textId="5157259B" w:rsidR="00E10109" w:rsidRPr="00155985" w:rsidRDefault="00C80AA1" w:rsidP="00C80AA1">
      <w:pPr>
        <w:ind w:right="-360"/>
        <w:rPr>
          <w:rFonts w:ascii="Arial" w:hAnsi="Arial" w:cs="Arial"/>
        </w:rPr>
      </w:pPr>
      <w:r w:rsidRPr="00155985">
        <w:rPr>
          <w:rFonts w:ascii="Arial" w:hAnsi="Arial" w:cs="Arial"/>
        </w:rPr>
        <w:t>*Complete all education at least 30 Days before license expiration date to avoid fines from the Real Estate Commission.</w:t>
      </w:r>
    </w:p>
    <w:p w14:paraId="264EB5F1" w14:textId="77777777" w:rsidR="00E10109" w:rsidRPr="00C80AA1" w:rsidRDefault="00E10109" w:rsidP="00C80AA1">
      <w:pPr>
        <w:ind w:right="-360"/>
        <w:rPr>
          <w:rFonts w:ascii="Tahoma" w:hAnsi="Tahoma" w:cs="Tahoma"/>
        </w:rPr>
      </w:pPr>
    </w:p>
    <w:p w14:paraId="1B0F5CF4" w14:textId="77777777" w:rsidR="00C80AA1" w:rsidRPr="00C80AA1" w:rsidRDefault="00C80AA1" w:rsidP="00C80AA1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</w:pPr>
      <w:r w:rsidRPr="00C80AA1">
        <w:rPr>
          <w:rFonts w:ascii="Montserrat" w:eastAsia="Times New Roman" w:hAnsi="Montserrat" w:cs="Times New Roman"/>
          <w:b/>
          <w:bCs/>
          <w:color w:val="FFFFFF"/>
          <w:sz w:val="27"/>
          <w:szCs w:val="27"/>
          <w:shd w:val="clear" w:color="auto" w:fill="1E1E1E"/>
        </w:rPr>
        <w:t>NOTE</w:t>
      </w:r>
      <w:r w:rsidRPr="00C80AA1">
        <w:rPr>
          <w:rFonts w:ascii="Montserrat" w:eastAsia="Times New Roman" w:hAnsi="Montserrat" w:cs="Times New Roman"/>
          <w:b/>
          <w:bCs/>
          <w:color w:val="000000"/>
          <w:sz w:val="27"/>
          <w:szCs w:val="27"/>
        </w:rPr>
        <w:t> – For licensees initially licensed prior to October 1, 2023</w:t>
      </w:r>
    </w:p>
    <w:p w14:paraId="376DB164" w14:textId="77777777" w:rsidR="00C80AA1" w:rsidRPr="00C80AA1" w:rsidRDefault="00C80AA1" w:rsidP="00C80AA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C80AA1">
        <w:rPr>
          <w:rFonts w:ascii="Montserrat" w:eastAsia="Times New Roman" w:hAnsi="Montserrat" w:cs="Times New Roman"/>
          <w:color w:val="000000"/>
          <w:sz w:val="24"/>
          <w:szCs w:val="24"/>
        </w:rPr>
        <w:t>Your required continuing education is as follows:</w:t>
      </w:r>
    </w:p>
    <w:p w14:paraId="6D15942F" w14:textId="77777777" w:rsidR="0015683D" w:rsidRDefault="0015683D" w:rsidP="00E10109">
      <w:pPr>
        <w:spacing w:after="0"/>
        <w:ind w:right="-360"/>
        <w:rPr>
          <w:rFonts w:ascii="Tahoma" w:hAnsi="Tahoma" w:cs="Tahoma"/>
        </w:rPr>
      </w:pPr>
    </w:p>
    <w:tbl>
      <w:tblPr>
        <w:tblW w:w="43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2"/>
        <w:gridCol w:w="1284"/>
        <w:gridCol w:w="1009"/>
      </w:tblGrid>
      <w:tr w:rsidR="00E10109" w:rsidRPr="00E10109" w14:paraId="1598A792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6DA70" w14:textId="77777777" w:rsidR="00E10109" w:rsidRPr="00E10109" w:rsidRDefault="00E10109" w:rsidP="00E1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Salesperson/Associate </w:t>
            </w:r>
            <w:proofErr w:type="gramStart"/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Broker  (</w:t>
            </w:r>
            <w:proofErr w:type="gramEnd"/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Residential)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6ACD1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Topic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09542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Hours</w:t>
            </w:r>
          </w:p>
        </w:tc>
      </w:tr>
      <w:tr w:rsidR="00E10109" w:rsidRPr="00E10109" w14:paraId="0F5FAD65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1443D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Legal and Legislative Update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947A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3EEA1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10109" w:rsidRPr="00E10109" w14:paraId="1BAAE45E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BA3C7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Fair Housing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6E9F3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9F540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E10109" w:rsidRPr="00E10109" w14:paraId="7B0971AA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798FC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Ethics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49CD0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0CA47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10109" w:rsidRPr="00E10109" w14:paraId="04B45A83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A817E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Electives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686A2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Varies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7AFBF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10109" w:rsidRPr="00E10109" w14:paraId="2950C21C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107D1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Principles of Brokerage Relationships &amp; Disclosure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5A78E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9C921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10109" w:rsidRPr="00E10109" w14:paraId="4F773A7D" w14:textId="77777777" w:rsidTr="00E10109"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367F8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8469F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A1E13" w14:textId="77777777" w:rsidR="00E10109" w:rsidRPr="00E10109" w:rsidRDefault="00E10109" w:rsidP="00E10109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01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15</w:t>
            </w:r>
          </w:p>
        </w:tc>
      </w:tr>
    </w:tbl>
    <w:p w14:paraId="4E6BEBBA" w14:textId="174A7D95" w:rsidR="0015683D" w:rsidRDefault="0015683D" w:rsidP="00500B76">
      <w:pPr>
        <w:ind w:right="-360"/>
        <w:rPr>
          <w:rFonts w:ascii="Tahoma" w:hAnsi="Tahoma" w:cs="Tahoma"/>
        </w:rPr>
      </w:pPr>
    </w:p>
    <w:sectPr w:rsidR="0015683D" w:rsidSect="00C6592A">
      <w:footerReference w:type="default" r:id="rId10"/>
      <w:pgSz w:w="12240" w:h="15840"/>
      <w:pgMar w:top="630" w:right="1260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C2CE" w14:textId="77777777" w:rsidR="00964265" w:rsidRDefault="00964265" w:rsidP="00500B76">
      <w:pPr>
        <w:spacing w:after="0" w:line="240" w:lineRule="auto"/>
      </w:pPr>
      <w:r>
        <w:separator/>
      </w:r>
    </w:p>
  </w:endnote>
  <w:endnote w:type="continuationSeparator" w:id="0">
    <w:p w14:paraId="48B3FD19" w14:textId="77777777" w:rsidR="00964265" w:rsidRDefault="00964265" w:rsidP="0050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A5A2" w14:textId="40A593BB" w:rsidR="00500B76" w:rsidRDefault="00500B76">
    <w:pPr>
      <w:pStyle w:val="Footer"/>
    </w:pPr>
    <w:r>
      <w:t>HCAR</w:t>
    </w:r>
    <w:r w:rsidR="00A17BB1">
      <w:t xml:space="preserve"> </w:t>
    </w:r>
    <w:r>
      <w:t>NMO Continuing Education Requirements</w:t>
    </w:r>
  </w:p>
  <w:p w14:paraId="7C35307C" w14:textId="77777777" w:rsidR="00500B76" w:rsidRDefault="00500B76">
    <w:pPr>
      <w:pStyle w:val="Footer"/>
    </w:pPr>
  </w:p>
  <w:p w14:paraId="1F91EFF9" w14:textId="77777777" w:rsidR="00500B76" w:rsidRDefault="0050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3A4B" w14:textId="77777777" w:rsidR="00964265" w:rsidRDefault="00964265" w:rsidP="00500B76">
      <w:pPr>
        <w:spacing w:after="0" w:line="240" w:lineRule="auto"/>
      </w:pPr>
      <w:r>
        <w:separator/>
      </w:r>
    </w:p>
  </w:footnote>
  <w:footnote w:type="continuationSeparator" w:id="0">
    <w:p w14:paraId="68CD2805" w14:textId="77777777" w:rsidR="00964265" w:rsidRDefault="00964265" w:rsidP="00500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92B"/>
    <w:rsid w:val="000064D6"/>
    <w:rsid w:val="0006341A"/>
    <w:rsid w:val="00155985"/>
    <w:rsid w:val="0015683D"/>
    <w:rsid w:val="001F59D8"/>
    <w:rsid w:val="00210663"/>
    <w:rsid w:val="00245673"/>
    <w:rsid w:val="0025292B"/>
    <w:rsid w:val="00377938"/>
    <w:rsid w:val="004670D1"/>
    <w:rsid w:val="004E615F"/>
    <w:rsid w:val="00500B76"/>
    <w:rsid w:val="00567C33"/>
    <w:rsid w:val="005A6148"/>
    <w:rsid w:val="006400AB"/>
    <w:rsid w:val="0070016A"/>
    <w:rsid w:val="00744F10"/>
    <w:rsid w:val="0075326B"/>
    <w:rsid w:val="007737D2"/>
    <w:rsid w:val="007E1A06"/>
    <w:rsid w:val="007E2ADD"/>
    <w:rsid w:val="00851AEB"/>
    <w:rsid w:val="008A2EE1"/>
    <w:rsid w:val="008D72B1"/>
    <w:rsid w:val="00932917"/>
    <w:rsid w:val="00936E37"/>
    <w:rsid w:val="00964265"/>
    <w:rsid w:val="00970366"/>
    <w:rsid w:val="009E6C3B"/>
    <w:rsid w:val="00A17BB1"/>
    <w:rsid w:val="00AC386F"/>
    <w:rsid w:val="00B01CD0"/>
    <w:rsid w:val="00B0524F"/>
    <w:rsid w:val="00C6592A"/>
    <w:rsid w:val="00C73EB7"/>
    <w:rsid w:val="00C80AA1"/>
    <w:rsid w:val="00CA04AA"/>
    <w:rsid w:val="00D21163"/>
    <w:rsid w:val="00DA6D13"/>
    <w:rsid w:val="00DD6F80"/>
    <w:rsid w:val="00E10109"/>
    <w:rsid w:val="00F268CC"/>
    <w:rsid w:val="00FB62C4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BB5C"/>
  <w15:docId w15:val="{A36FD41F-4601-4DB1-A02A-CE0DDB6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C4"/>
  </w:style>
  <w:style w:type="paragraph" w:styleId="Heading1">
    <w:name w:val="heading 1"/>
    <w:basedOn w:val="Normal"/>
    <w:link w:val="Heading1Char"/>
    <w:uiPriority w:val="9"/>
    <w:qFormat/>
    <w:rsid w:val="00252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92B"/>
    <w:rPr>
      <w:b/>
      <w:bCs/>
    </w:rPr>
  </w:style>
  <w:style w:type="character" w:customStyle="1" w:styleId="apple-converted-space">
    <w:name w:val="apple-converted-space"/>
    <w:basedOn w:val="DefaultParagraphFont"/>
    <w:rsid w:val="0025292B"/>
  </w:style>
  <w:style w:type="character" w:styleId="Emphasis">
    <w:name w:val="Emphasis"/>
    <w:basedOn w:val="DefaultParagraphFont"/>
    <w:uiPriority w:val="20"/>
    <w:qFormat/>
    <w:rsid w:val="002529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03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B76"/>
  </w:style>
  <w:style w:type="paragraph" w:styleId="Footer">
    <w:name w:val="footer"/>
    <w:basedOn w:val="Normal"/>
    <w:link w:val="FooterChar"/>
    <w:uiPriority w:val="99"/>
    <w:unhideWhenUsed/>
    <w:rsid w:val="00500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76"/>
  </w:style>
  <w:style w:type="character" w:customStyle="1" w:styleId="Heading3Char">
    <w:name w:val="Heading 3 Char"/>
    <w:basedOn w:val="DefaultParagraphFont"/>
    <w:link w:val="Heading3"/>
    <w:uiPriority w:val="9"/>
    <w:semiHidden/>
    <w:rsid w:val="00C80A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6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dllr.state.md.us/license/mrec/mreceduc.s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Powell</dc:creator>
  <cp:lastModifiedBy>Danielle Jacob</cp:lastModifiedBy>
  <cp:revision>18</cp:revision>
  <cp:lastPrinted>2019-03-25T16:37:00Z</cp:lastPrinted>
  <dcterms:created xsi:type="dcterms:W3CDTF">2016-08-03T15:24:00Z</dcterms:created>
  <dcterms:modified xsi:type="dcterms:W3CDTF">2026-01-21T20:37:00Z</dcterms:modified>
</cp:coreProperties>
</file>